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Style22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26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сентября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Молодые капиталисты</w:t>
      </w:r>
      <w:r>
        <w:rPr>
          <w:b/>
          <w:bCs/>
          <w:sz w:val="26"/>
          <w:szCs w:val="26"/>
        </w:rPr>
        <w:t xml:space="preserve">: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b/>
          <w:bCs/>
          <w:sz w:val="26"/>
          <w:szCs w:val="26"/>
        </w:rPr>
        <w:t xml:space="preserve">в России свыше 9 миллионов семей </w:t>
      </w:r>
      <w:r>
        <w:rPr>
          <w:b/>
          <w:bCs/>
          <w:sz w:val="26"/>
          <w:szCs w:val="26"/>
        </w:rPr>
        <w:t>с детьми получили материнский капитал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topStaticBlock"/>
      <w:bookmarkEnd w:id="0"/>
      <w:r>
        <w:rPr>
          <w:sz w:val="28"/>
          <w:szCs w:val="28"/>
        </w:rPr>
        <w:tab/>
      </w:r>
      <w:r>
        <w:rPr>
          <w:b w:val="false"/>
          <w:bCs w:val="false"/>
          <w:sz w:val="24"/>
          <w:szCs w:val="24"/>
        </w:rPr>
        <w:t>С 2007 года в нашей стране реализуется одна из самых популярных государственных программ - м</w:t>
      </w:r>
      <w:r>
        <w:rPr>
          <w:b w:val="false"/>
          <w:bCs w:val="false"/>
          <w:sz w:val="24"/>
          <w:szCs w:val="24"/>
        </w:rPr>
        <w:t xml:space="preserve">атеринский (семейный) капитал. </w:t>
      </w:r>
      <w:r>
        <w:rPr>
          <w:b w:val="false"/>
          <w:bCs w:val="false"/>
          <w:sz w:val="24"/>
          <w:szCs w:val="24"/>
        </w:rPr>
        <w:t xml:space="preserve">Право на получение этой меры </w:t>
      </w:r>
      <w:r>
        <w:rPr>
          <w:b w:val="false"/>
          <w:bCs w:val="false"/>
          <w:sz w:val="24"/>
          <w:szCs w:val="24"/>
        </w:rPr>
        <w:t xml:space="preserve">господдержки </w:t>
      </w:r>
      <w:r>
        <w:rPr>
          <w:b w:val="false"/>
          <w:bCs w:val="false"/>
          <w:sz w:val="24"/>
          <w:szCs w:val="24"/>
        </w:rPr>
        <w:t>имеют</w:t>
      </w:r>
      <w:r>
        <w:rPr>
          <w:b w:val="false"/>
          <w:bCs w:val="false"/>
          <w:sz w:val="24"/>
          <w:szCs w:val="24"/>
        </w:rPr>
        <w:t xml:space="preserve"> сем</w:t>
      </w:r>
      <w:r>
        <w:rPr>
          <w:b w:val="false"/>
          <w:bCs w:val="false"/>
          <w:sz w:val="24"/>
          <w:szCs w:val="24"/>
        </w:rPr>
        <w:t>ьи</w:t>
      </w:r>
      <w:r>
        <w:rPr>
          <w:b w:val="false"/>
          <w:bCs w:val="false"/>
          <w:sz w:val="24"/>
          <w:szCs w:val="24"/>
        </w:rPr>
        <w:t>, в которых с 2007 по 2021 год включительно родился (был усыновл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н) второй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нок (либо третий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нок или последующие дети, если при рождении (усыновлении) второго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нка право на получение этих средств не оформлялось).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shd w:fill="99FFFF" w:val="clear"/>
        </w:rPr>
      </w:pPr>
      <w:r>
        <w:rPr>
          <w:b w:val="false"/>
          <w:bCs w:val="false"/>
          <w:sz w:val="24"/>
          <w:szCs w:val="24"/>
          <w:shd w:fill="99FFFF" w:val="clear"/>
        </w:rPr>
        <w:t>Факты, которые важно знать о материнском (семейном) капитале (МСК):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право на получение материнского (семейного) капитала предоставляется только один раз;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материнский (семейный) капитал индексируется государством, изменение его размера не влеч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т замену сертификата;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срок обращения в П</w:t>
      </w:r>
      <w:r>
        <w:rPr>
          <w:b w:val="false"/>
          <w:bCs w:val="false"/>
          <w:sz w:val="24"/>
          <w:szCs w:val="24"/>
        </w:rPr>
        <w:t xml:space="preserve">енсионный фонд </w:t>
      </w:r>
      <w:r>
        <w:rPr>
          <w:b w:val="false"/>
          <w:bCs w:val="false"/>
          <w:sz w:val="24"/>
          <w:szCs w:val="24"/>
        </w:rPr>
        <w:t xml:space="preserve">с заявлением о выдаче сертификата на </w:t>
      </w:r>
      <w:r>
        <w:rPr>
          <w:b w:val="false"/>
          <w:bCs w:val="false"/>
          <w:sz w:val="24"/>
          <w:szCs w:val="24"/>
        </w:rPr>
        <w:t>МСК</w:t>
      </w:r>
      <w:r>
        <w:rPr>
          <w:b w:val="false"/>
          <w:bCs w:val="false"/>
          <w:sz w:val="24"/>
          <w:szCs w:val="24"/>
        </w:rPr>
        <w:t xml:space="preserve"> после рождения (усыновления) второго (третьего или последующего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нка) не ограничен;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заявление о распоряжении средствами (частью средств) </w:t>
      </w:r>
      <w:r>
        <w:rPr>
          <w:b w:val="false"/>
          <w:bCs w:val="false"/>
          <w:sz w:val="24"/>
          <w:szCs w:val="24"/>
        </w:rPr>
        <w:t xml:space="preserve">МСК </w:t>
      </w:r>
      <w:r>
        <w:rPr>
          <w:b w:val="false"/>
          <w:bCs w:val="false"/>
          <w:sz w:val="24"/>
          <w:szCs w:val="24"/>
        </w:rPr>
        <w:t>может быть подано в любое время по истечении тр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х лет со дня рождения (усыновления) второго (третьего или последующего)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 xml:space="preserve">нка. </w:t>
      </w:r>
      <w:r>
        <w:rPr>
          <w:b w:val="false"/>
          <w:bCs w:val="false"/>
          <w:sz w:val="24"/>
          <w:szCs w:val="24"/>
        </w:rPr>
        <w:t>Но есть исключение: капиталом можно воспользоваться в любое время после рождения или усыновления ребенка, е</w:t>
      </w:r>
      <w:r>
        <w:rPr>
          <w:b w:val="false"/>
          <w:bCs w:val="false"/>
          <w:sz w:val="24"/>
          <w:szCs w:val="24"/>
        </w:rPr>
        <w:t xml:space="preserve">сли необходимо использовать средства </w:t>
      </w:r>
      <w:r>
        <w:rPr>
          <w:b w:val="false"/>
          <w:bCs w:val="false"/>
          <w:sz w:val="24"/>
          <w:szCs w:val="24"/>
        </w:rPr>
        <w:t>МСК</w:t>
      </w:r>
      <w:r>
        <w:rPr>
          <w:b w:val="false"/>
          <w:bCs w:val="false"/>
          <w:sz w:val="24"/>
          <w:szCs w:val="24"/>
        </w:rPr>
        <w:t xml:space="preserve"> на оплату первоначального взноса по жилищному кредиту или займу, а также на оплату основного долга и процентов по кредиту (займу) на приобретение или строительство жилья, на оплату содержания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 xml:space="preserve">нка (детей) </w:t>
      </w:r>
      <w:r>
        <w:rPr>
          <w:b w:val="false"/>
          <w:bCs w:val="false"/>
          <w:sz w:val="24"/>
          <w:szCs w:val="24"/>
        </w:rPr>
        <w:t xml:space="preserve">в учреждении </w:t>
      </w:r>
      <w:r>
        <w:rPr>
          <w:b w:val="false"/>
          <w:bCs w:val="false"/>
          <w:sz w:val="24"/>
          <w:szCs w:val="24"/>
        </w:rPr>
        <w:t>дошкольного образования, на приобретение товаров и услуг для социальной адаптации и интеграции в общество ребёнка-инвалида (детей-инвалидов) или на ежемесячную выплату;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материнский (семейный) капитал освобождается от налога на доходы физических лиц;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сертификат действителен только при предъявлении документа, удостоверяющего личность;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нка, в связи с рождением или усыновлением которого возникло право на получение материнского капитала, совершения им в отношении своего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>нка (детей) умышленного преступления, относящегося к преступлениям против личности, а также в случае отмены усыновления реб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 xml:space="preserve">нка, в связи с усыновлением которого возникло право на материнский капитал, или в связи с использованием средств </w:t>
      </w:r>
      <w:r>
        <w:rPr>
          <w:b w:val="false"/>
          <w:bCs w:val="false"/>
          <w:sz w:val="24"/>
          <w:szCs w:val="24"/>
        </w:rPr>
        <w:t>МСК</w:t>
      </w:r>
      <w:r>
        <w:rPr>
          <w:b w:val="false"/>
          <w:bCs w:val="false"/>
          <w:sz w:val="24"/>
          <w:szCs w:val="24"/>
        </w:rPr>
        <w:t xml:space="preserve"> в полном объеме;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в случае утраты сертификата можно получить его дубликат;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07" w:hanging="28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средства материнского капитала можно получить только по безналичному расч</w:t>
      </w:r>
      <w:r>
        <w:rPr>
          <w:b w:val="false"/>
          <w:bCs w:val="false"/>
          <w:sz w:val="24"/>
          <w:szCs w:val="24"/>
        </w:rPr>
        <w:t>ё</w:t>
      </w:r>
      <w:r>
        <w:rPr>
          <w:b w:val="false"/>
          <w:bCs w:val="false"/>
          <w:sz w:val="24"/>
          <w:szCs w:val="24"/>
        </w:rPr>
        <w:t xml:space="preserve">ту. Любые схемы обналичивания этих средств являются незаконными. При этом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преступления.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ИНТЕРЕСНЫЕ ЦИФРЫ.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За годы реализации программы МСК владельцами сертификата на материнский капитал стали 17 553 семьи города Волжского и 15 820 семей в районах Заволжья, в том числе: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1 601 в Старополтавском районе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3 778 в Среднеахтубинском районе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2 366 в Ленинском районе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1 927 в Быковском районе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2 222 в Николаевском районе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3 926 в Палласовском районе.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ab/>
        <w:t>Свыше 70% владельцев маткапитала уже распорядились деньгами. Большинство семей направили средства на улучшение жилищных условий — это общероссийская тенденция. При этом всё чаще семьи тратят средства МСК на образование детей. А вот на будущую пенсию мамы решили использовать капитал 29 жителей Волжского, в районах Заволжья это направлени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е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расходования средств МСК пока не выбрал ни один человек. 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2019-09-26T10:01:28Z</dcterms:modified>
  <cp:revision>67</cp:revision>
</cp:coreProperties>
</file>