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-631825</wp:posOffset>
            </wp:positionH>
            <wp:positionV relativeFrom="paragraph">
              <wp:posOffset>-400685</wp:posOffset>
            </wp:positionV>
            <wp:extent cx="7376795" cy="937260"/>
            <wp:effectExtent l="0" t="0" r="0" b="0"/>
            <wp:wrapNone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9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 xml:space="preserve">ГОСУДАРСТВЕННОЕ УЧРЕЖДЕНИЕ - 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>ЦЕНТР ПРЕДОСТАВЛЕНИЯ ГОСУДАРСТВЕННЫХ УСЛУГ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 xml:space="preserve">И УСТАНОВЛЕНИЯ ПЕНСИЙ ПФР РФ 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>В ВОЛГОГРАДСКОЙ ОБЛАСТИ № 1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/>
      </w:pPr>
      <w:r>
        <w:rPr>
          <w:b w:val="false"/>
          <w:bCs w:val="false"/>
          <w:color w:val="000000"/>
          <w:sz w:val="26"/>
          <w:szCs w:val="26"/>
        </w:rPr>
        <w:t>404111 г. Волжский, ул. Молодёжная, 12</w:t>
      </w:r>
    </w:p>
    <w:p>
      <w:pPr>
        <w:pStyle w:val="Normal"/>
        <w:jc w:val="center"/>
        <w:rPr>
          <w:rStyle w:val="Style14"/>
          <w:rFonts w:ascii="Times New Roman" w:hAnsi="Times New Roman"/>
          <w:b/>
          <w:b/>
          <w:bCs/>
          <w:sz w:val="22"/>
          <w:szCs w:val="22"/>
          <w:u w:val="none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u w:val="none"/>
          <w:lang w:val="en-US"/>
        </w:rPr>
      </w:r>
    </w:p>
    <w:p>
      <w:pPr>
        <w:pStyle w:val="Style21"/>
        <w:spacing w:lineRule="auto" w:line="276"/>
        <w:ind w:left="0" w:right="0" w:hanging="0"/>
        <w:jc w:val="center"/>
        <w:rPr/>
      </w:pPr>
      <w:r>
        <w:rPr>
          <w:rStyle w:val="Style14"/>
          <w:rFonts w:ascii="Times New Roman" w:hAnsi="Times New Roman"/>
          <w:b/>
          <w:bCs/>
          <w:color w:val="000000"/>
          <w:sz w:val="22"/>
          <w:szCs w:val="22"/>
          <w:u w:val="none"/>
          <w:lang w:val="ru-RU"/>
        </w:rPr>
        <w:t xml:space="preserve">Электронный адрес Центра № 1 в г. Волжском: </w:t>
      </w:r>
      <w:hyperlink r:id="rId3">
        <w:r>
          <w:rPr>
            <w:rStyle w:val="Style14"/>
            <w:rFonts w:ascii="Times New Roman" w:hAnsi="Times New Roman"/>
            <w:b/>
            <w:bCs/>
            <w:color w:val="330099"/>
            <w:sz w:val="22"/>
            <w:szCs w:val="22"/>
            <w:u w:val="none"/>
            <w:lang w:val="en-US"/>
          </w:rPr>
          <w:t>upfr34@044.pfr.ru</w:t>
        </w:r>
      </w:hyperlink>
      <w:r>
        <w:rPr>
          <w:rStyle w:val="Style14"/>
          <w:rFonts w:ascii="Times New Roman" w:hAnsi="Times New Roman"/>
          <w:b/>
          <w:bCs/>
          <w:color w:val="330099"/>
          <w:sz w:val="22"/>
          <w:szCs w:val="22"/>
          <w:u w:val="none"/>
          <w:lang w:val="en-US"/>
        </w:rPr>
        <w:t xml:space="preserve"> </w:t>
      </w:r>
      <w:r>
        <w:rPr>
          <w:rStyle w:val="Style14"/>
          <w:rFonts w:ascii="Times New Roman" w:hAnsi="Times New Roman"/>
          <w:b/>
          <w:bCs/>
          <w:color w:val="000000"/>
          <w:sz w:val="22"/>
          <w:szCs w:val="22"/>
          <w:u w:val="none"/>
          <w:lang w:val="en-US"/>
        </w:rPr>
        <w:t>(</w:t>
      </w:r>
      <w:r>
        <w:rPr>
          <w:rStyle w:val="Style14"/>
          <w:rFonts w:ascii="Times New Roman" w:hAnsi="Times New Roman"/>
          <w:b/>
          <w:bCs/>
          <w:color w:val="000000"/>
          <w:sz w:val="22"/>
          <w:szCs w:val="22"/>
          <w:u w:val="none"/>
          <w:lang w:val="ru-RU"/>
        </w:rPr>
        <w:t>для Истоминой Е.)</w:t>
      </w:r>
    </w:p>
    <w:p>
      <w:pPr>
        <w:pStyle w:val="Normal"/>
        <w:jc w:val="right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right"/>
        <w:rPr/>
      </w:pPr>
      <w:r>
        <w:rPr>
          <w:b w:val="false"/>
          <w:bCs w:val="false"/>
          <w:color w:val="000000"/>
          <w:sz w:val="26"/>
          <w:szCs w:val="26"/>
          <w:lang w:val="ru-RU"/>
        </w:rPr>
        <w:t>2</w:t>
      </w:r>
      <w:r>
        <w:rPr>
          <w:b w:val="false"/>
          <w:bCs w:val="false"/>
          <w:color w:val="000000"/>
          <w:sz w:val="26"/>
          <w:szCs w:val="26"/>
          <w:lang w:val="ru-RU"/>
        </w:rPr>
        <w:t>7</w:t>
      </w:r>
      <w:r>
        <w:rPr>
          <w:b w:val="false"/>
          <w:bCs w:val="false"/>
          <w:color w:val="000000"/>
          <w:sz w:val="26"/>
          <w:szCs w:val="26"/>
          <w:lang w:val="ru-RU"/>
        </w:rPr>
        <w:t xml:space="preserve"> августа</w:t>
      </w:r>
      <w:r>
        <w:rPr>
          <w:b w:val="false"/>
          <w:bCs w:val="false"/>
          <w:color w:val="000000"/>
          <w:sz w:val="26"/>
          <w:szCs w:val="26"/>
        </w:rPr>
        <w:t xml:space="preserve"> 2019  года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2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Вы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— предпенсионер? Подтвердить свой новый статус легко!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Почти 2 тысячи волгоградцев уже подтвердили свой статус предпенсионера при помощи нового электронного сервиса ПФР.  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В 2019 году запущен новый сервис информирования Пенсионного фонда РФ, с помощью которого органам власти, различным ведомствам и работодателям стала доступна информация о наличии или отсутствии статуса предпенсионера — эти данные необходимы для предоставления гражданам соответствующих льгот.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Теперь за подтверждающим статус документом можно обращаться не только в клиентскую службу ПФР: благодаря новому сервису Пенсионного фонда предпенсионеру достаточно подать заявление в то ведомство, которое предоставляет льготу. 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ab/>
        <w:t xml:space="preserve">К примеру, тесное взаимодействие налажено между Пенсионным фондом и центрами занятости, которые предоставляют повышенные пособия по безработице и которые занимаются переобучением и повышением квалификации предпенсионеров. Таким образом, человек, обладающий статусом предпенсионера и решивший повысить свою квалификацию, обращается с заявлением напрямую в службу занятости своего города/района, а специалисты ведомства самостоятельно делают запрос в ПФР для подтверждения статуса предпенсионера. 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Кроме того, сегодня справку об отнесении гражданина к категории граждан предпенсионного возраста можно получить дистанционно — через портал госуслуг и Личный кабинет гражданина на официальном сайте ПФР.  Для этого необходимо войти в Личный кабинет, выбрать в разделе «Пенсии» вкладку «Заказать справку (выписку) об отнесении гражданина к категории граждан предпенсионного возраста». Затем следует указать орган, куда предоставляются данные сведения или же свою электронную почту для её получения, а также последующего сохранения и печати. Также эта справка автоматически сохранится и будет доступна в разделе «История обращений».</w:t>
      </w:r>
    </w:p>
    <w:p>
      <w:pPr>
        <w:pStyle w:val="Normal"/>
        <w:spacing w:lineRule="auto" w:line="240"/>
        <w:jc w:val="both"/>
        <w:rPr>
          <w:rFonts w:cs="Times New Roman"/>
        </w:rPr>
      </w:pPr>
      <w:r>
        <w:rPr>
          <w:rFonts w:eastAsia="Times New Roman" w:cs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/>
        <w:jc w:val="both"/>
        <w:rPr>
          <w:rFonts w:eastAsia="Times New Roman" w:cs="Times New Roman"/>
          <w:b/>
          <w:b/>
          <w:lang w:eastAsia="ru-RU"/>
        </w:rPr>
      </w:pPr>
      <w:r>
        <w:rPr>
          <w:rFonts w:eastAsia="Times New Roman" w:cs="Times New Roman"/>
          <w:b/>
          <w:lang w:eastAsia="ru-RU"/>
        </w:rPr>
      </w:r>
    </w:p>
    <w:p>
      <w:pPr>
        <w:pStyle w:val="Normal"/>
        <w:spacing w:lineRule="auto" w:line="276"/>
        <w:ind w:hanging="0"/>
        <w:jc w:val="right"/>
        <w:rPr/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пресс-секретарь Центра ПФР № 1 </w:t>
      </w:r>
    </w:p>
    <w:p>
      <w:pPr>
        <w:pStyle w:val="Normal"/>
        <w:spacing w:lineRule="auto" w:line="276"/>
        <w:ind w:hanging="0"/>
        <w:jc w:val="right"/>
        <w:rPr/>
      </w:pPr>
      <w:r>
        <w:rPr>
          <w:b/>
          <w:sz w:val="26"/>
          <w:szCs w:val="26"/>
        </w:rPr>
        <w:t>Елена Истомина</w:t>
      </w: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1">
    <w:name w:val="Основной шрифт абзаца1"/>
    <w:qFormat/>
    <w:rPr/>
  </w:style>
  <w:style w:type="character" w:styleId="Style14">
    <w:name w:val="Интернет-ссылка"/>
    <w:basedOn w:val="1"/>
    <w:rPr>
      <w:color w:val="0000FF"/>
      <w:u w:val="single"/>
    </w:rPr>
  </w:style>
  <w:style w:type="character" w:styleId="Style15">
    <w:name w:val="Основной шрифт абзаца"/>
    <w:qFormat/>
    <w:rPr/>
  </w:style>
  <w:style w:type="character" w:styleId="Textexposedshow">
    <w:name w:val="text_exposed_show"/>
    <w:basedOn w:val="Style15"/>
    <w:qFormat/>
    <w:rPr/>
  </w:style>
  <w:style w:type="character" w:styleId="Hascaption">
    <w:name w:val="hascaption"/>
    <w:basedOn w:val="Style15"/>
    <w:qFormat/>
    <w:rPr/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Основной текст с отступом"/>
    <w:basedOn w:val="Normal"/>
    <w:pPr>
      <w:ind w:left="0" w:right="0" w:firstLine="709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upfr34@044.pf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LibreOffice/4.4.3.2$Windows_x86 LibreOffice_project/88805f81e9fe61362df02b9941de8e38a9b5fd16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2019-08-27T08:39:11Z</dcterms:modified>
  <cp:revision>68</cp:revision>
</cp:coreProperties>
</file>