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rStyle w:val="Style13"/>
          <w:sz w:val="28"/>
          <w:szCs w:val="28"/>
        </w:rPr>
        <w:t>Артист идёт на пенсию</w:t>
      </w:r>
    </w:p>
    <w:p>
      <w:pPr>
        <w:pStyle w:val="Normal"/>
        <w:jc w:val="center"/>
        <w:rPr>
          <w:rStyle w:val="Style13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Ряд категорий граждан творческих профессий, согласно закону «О страховых пенсиях», имеют право на назначение страховой пенсии по старости досрочно. К ним относятся лица, осуществляющие творческую деятельность на сцене в театрах или культурно-зрелищных организациях. Например, артисты театров балета и театров оперы и балета, артисты цирков и концертных организаций, артисты-исполнители танцевальных номеров в профессиональных художественных коллективах; артисты профессиональных хоровых коллективов, артисты, играющие на духовых инструментах в профессиональных художественных коллективах; артисты-кукловоды в театрах кукол; артисты детских театров и театров юного зрителя и др..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Новое пенсионное законодательство, которое заработало в России с 2019 году, сохранило для работников творческой сферы право на досрочный выход на пенсию - при выработке определённой продолжительности специального стажа (от 15 до 30 лет в зависимости от характера творческой деятельности).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Вместе с тем, начиная с 2019 года, выход на пенсию указанных работников определяется с учётом переходного периода по повышению пенсионного возраста. В соответствии с ним назначение пенсии артистам постепенно переносится с момента выработки творческого стажа. В течение переходного периода срок обращения за пенсией будет увеличиваться от 1 до 5 лет.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Когда переходный период закончится, обратиться за назначением досрочной пенсии по старости артист сможет через 5 лет после выработки спецстажа. При этом он может продолжать трудовую деятельность после приобретения необходимого творческого стажа либо прекратить работу.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Ещё одним обязательным условием является наличие необходимого количества пенсионных коэффициентов: в 2021 году их должно быть не менее 21.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К слову, сегодня досрочную пенсию получают 22 артиста, проживающие в Волжском и Камышине, а также в Дубовском, Иловлинском и Среднеахтубинском районах.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2021-01-22T13:51:14Z</dcterms:modified>
  <cp:revision>103</cp:revision>
</cp:coreProperties>
</file>