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-223520</wp:posOffset>
            </wp:positionH>
            <wp:positionV relativeFrom="paragraph">
              <wp:posOffset>-3810</wp:posOffset>
            </wp:positionV>
            <wp:extent cx="7316470" cy="929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entury Gothic" w:hAnsi="Century Gothic"/>
          <w:b/>
          <w:b/>
          <w:bCs/>
          <w:color w:val="006699"/>
          <w:sz w:val="12"/>
          <w:szCs w:val="12"/>
        </w:rPr>
      </w:pPr>
      <w:r>
        <w:rPr>
          <w:rFonts w:ascii="Century Gothic" w:hAnsi="Century Gothic"/>
          <w:b/>
          <w:bCs/>
          <w:color w:val="006699"/>
          <w:sz w:val="12"/>
          <w:szCs w:val="12"/>
        </w:rPr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FFFFFF" w:val="clear"/>
        </w:rPr>
        <w:t>П</w:t>
      </w: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FFFFFF" w:val="clear"/>
        </w:rPr>
        <w:t xml:space="preserve">ерейти </w:t>
      </w:r>
      <w:r>
        <w:rPr>
          <w:rFonts w:ascii="Liberation Sans" w:hAnsi="Liberation Sans"/>
          <w:b/>
          <w:i w:val="false"/>
          <w:caps w:val="false"/>
          <w:smallCaps w:val="false"/>
          <w:color w:val="000000"/>
          <w:spacing w:val="0"/>
          <w:sz w:val="24"/>
          <w:szCs w:val="24"/>
          <w:u w:val="none"/>
          <w:shd w:fill="FFFFFF" w:val="clear"/>
        </w:rPr>
        <w:t>с бумажной на электронную трудовую книжку ещё не поздно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ans" w:hAnsi="Liberation Sans"/>
          <w:sz w:val="24"/>
          <w:szCs w:val="24"/>
        </w:rPr>
        <w:tab/>
        <w:t>В России введена электронная трудовая книжка – новый формат хорошо знакомого всем работающим россиянам документа. До 31 декабря прошлого года работающие россияне должны были определиться с форматом своей трудовой книжки — электронным или бумажным - и подать соответствующее заявление работодателю.</w:t>
      </w:r>
    </w:p>
    <w:p>
      <w:pPr>
        <w:pStyle w:val="Normal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0</wp:posOffset>
                </wp:positionH>
                <wp:positionV relativeFrom="line">
                  <wp:align>top</wp:align>
                </wp:positionV>
                <wp:extent cx="122555" cy="175895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7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4"/>
                              <w:spacing w:lineRule="auto" w:line="288" w:before="0" w:after="1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0pt;margin-top:-13.85pt;width:9.55pt;height:13.75pt;mso-position-horizontal-relative:page;mso-position-vertical:bottom">
                <w10:wrap type="none"/>
                <v:fill on="false" o:detectmouseclick="t"/>
                <v:stroke color="#3465a4" joinstyle="round" endcap="flat"/>
                <v:textbox>
                  <w:txbxContent>
                    <w:p>
                      <w:pPr>
                        <w:pStyle w:val="Style14"/>
                        <w:spacing w:lineRule="auto" w:line="288" w:before="0" w:after="14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Liberation Sans" w:hAnsi="Liberation Sans"/>
          <w:sz w:val="24"/>
          <w:szCs w:val="24"/>
        </w:rPr>
        <w:tab/>
        <w:t xml:space="preserve">Между тем перейти на электронный вариант ведения записей о трудовой деятельности можно и теперь. Согласно закону,* </w:t>
      </w:r>
      <w:r>
        <w:rPr>
          <w:rFonts w:ascii="Liberation Sans" w:hAnsi="Liberation Sans"/>
          <w:b/>
          <w:bCs/>
          <w:sz w:val="24"/>
          <w:szCs w:val="24"/>
        </w:rPr>
        <w:t>работник, подавший письменное заявление о продолжении ведения бумажной трудовой книжки, вправе в последующем подать работодателю новое заявление — о переходе на электронный формат.</w:t>
      </w:r>
      <w:r>
        <w:rPr>
          <w:rFonts w:ascii="Liberation Sans" w:hAnsi="Liberation Sans"/>
          <w:sz w:val="24"/>
          <w:szCs w:val="24"/>
        </w:rPr>
        <w:t xml:space="preserve">  </w:t>
      </w:r>
    </w:p>
    <w:p>
      <w:pPr>
        <w:pStyle w:val="Normal"/>
        <w:jc w:val="both"/>
        <w:rPr/>
      </w:pPr>
      <w:r>
        <w:rPr>
          <w:rFonts w:ascii="Liberation Sans" w:hAnsi="Liberation Sans"/>
          <w:sz w:val="24"/>
          <w:szCs w:val="24"/>
        </w:rPr>
        <w:tab/>
        <w:t xml:space="preserve">Кроме того, не все работающие россияне в силу разных уважительных причин (длительный больничный, отпуск, отстранение от работы или отсутствие места работы) имели возможность подать работодателю заявление о выборе варианта трудовой книжки. Они могут </w:t>
      </w: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сделать это в любое время, подав работодателю по основному месту работы, в том числе при трудоустройстве, соответствующее письменное заявление.</w:t>
      </w:r>
    </w:p>
    <w:p>
      <w:pPr>
        <w:pStyle w:val="Normal"/>
        <w:jc w:val="both"/>
        <w:rPr/>
      </w:pPr>
      <w:r>
        <w:rPr>
          <w:rFonts w:ascii="Liberation Sans" w:hAnsi="Liberation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ab/>
        <w:t xml:space="preserve">Напомним, что у россиян, </w:t>
      </w:r>
      <w:r>
        <w:rPr>
          <w:rFonts w:ascii="Liberation Sans" w:hAnsi="Liberation Sans"/>
        </w:rPr>
        <w:t>кто впервые устроится на работу с 2021 года, все сведения о периодах работы изначально будут вестись только в электронном виде без оформления бумажной трудовой книжки.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Liberation Sans" w:hAnsi="Liberation Sans"/>
          <w:sz w:val="24"/>
          <w:szCs w:val="24"/>
        </w:rPr>
        <w:t xml:space="preserve">* </w:t>
      </w:r>
      <w:hyperlink r:id="rId3">
        <w:bookmarkStart w:id="0" w:name="documentTitleLink"/>
        <w:bookmarkEnd w:id="0"/>
        <w:r>
          <w:rPr>
            <w:rStyle w:val="Style11"/>
            <w:rFonts w:ascii="Liberation Sans" w:hAnsi="Liberation Sans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0"/>
            <w:szCs w:val="20"/>
            <w:u w:val="none"/>
            <w:shd w:fill="FFFFFF" w:val="clear"/>
          </w:rPr>
          <w:t>Федеральный закон от 16.12.2019 N 439-ФЗ "О внесении изменений в Трудовой кодекс Российской Федерации в части формирования сведений о трудовой деятельности в электронном виде"</w:t>
        </w:r>
      </w:hyperlink>
      <w:r>
        <w:rPr>
          <w:rFonts w:ascii="Liberation Sans" w:hAnsi="Liberation Sans"/>
          <w:b w:val="false"/>
          <w:bCs w:val="false"/>
          <w:i w:val="false"/>
          <w:caps w:val="false"/>
          <w:smallCaps w:val="false"/>
          <w:color w:val="000000"/>
          <w:spacing w:val="0"/>
          <w:sz w:val="20"/>
          <w:szCs w:val="20"/>
          <w:u w:val="none"/>
          <w:shd w:fill="FFFFFF" w:val="clear"/>
        </w:rPr>
        <w:t>; ТК РФ, статьи 66, 66.1</w:t>
      </w:r>
    </w:p>
    <w:p>
      <w:pPr>
        <w:pStyle w:val="Normal"/>
        <w:jc w:val="both"/>
        <w:rPr>
          <w:rFonts w:ascii="Century Gothic" w:hAnsi="Century Gothic"/>
          <w:b/>
          <w:b/>
          <w:bCs/>
          <w:color w:val="006699"/>
          <w:sz w:val="26"/>
          <w:szCs w:val="26"/>
        </w:rPr>
      </w:pPr>
      <w:r>
        <w:rPr>
          <w:rFonts w:ascii="Century Gothic" w:hAnsi="Century Gothic"/>
          <w:b/>
          <w:bCs/>
          <w:color w:val="006699"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0"/>
          <w:szCs w:val="30"/>
        </w:rPr>
      </w:pPr>
      <w:r>
        <w:rPr/>
      </w:r>
    </w:p>
    <w:p>
      <w:pPr>
        <w:pStyle w:val="Normal"/>
        <w:jc w:val="right"/>
        <w:rPr/>
      </w:pPr>
      <w:r>
        <w:rPr>
          <w:rFonts w:ascii="Century Gothic" w:hAnsi="Century Gothic"/>
          <w:b/>
          <w:bCs/>
          <w:color w:val="006699"/>
          <w:sz w:val="24"/>
          <w:szCs w:val="24"/>
        </w:rPr>
        <w:t>ЦЕНТР ПФР № 1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по установлению пенсий</w:t>
      </w:r>
    </w:p>
    <w:p>
      <w:pPr>
        <w:pStyle w:val="Normal"/>
        <w:jc w:val="right"/>
        <w:rPr/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в Волгоградской области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entury Gothic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Верхний колонтитул"/>
    <w:basedOn w:val="Normal"/>
    <w:pPr/>
    <w:rPr/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3"/>
    <w:pPr/>
    <w:rPr/>
  </w:style>
  <w:style w:type="paragraph" w:styleId="Style23">
    <w:name w:val="Подзаголовок"/>
    <w:basedOn w:val="Style1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onsultant.ru/document/cons_doc_LAW_340241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LibreOffice/4.4.3.2$Windows_x86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2021-01-26T17:09:26Z</cp:lastPrinted>
  <dcterms:modified xsi:type="dcterms:W3CDTF">2021-01-26T17:09:33Z</dcterms:modified>
  <cp:revision>104</cp:revision>
</cp:coreProperties>
</file>