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ПФР рекомендует: </w:t>
      </w:r>
    </w:p>
    <w:p>
      <w:pPr>
        <w:pStyle w:val="Normal"/>
        <w:spacing w:lineRule="auto" w:line="240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используйте ЭТК при оформлении ипотеки или устройстве </w:t>
      </w:r>
      <w:r>
        <w:rPr>
          <w:rFonts w:ascii="Liberation Sans" w:hAnsi="Liberation Sans"/>
          <w:b/>
          <w:bCs/>
          <w:sz w:val="28"/>
          <w:szCs w:val="28"/>
        </w:rPr>
        <w:t xml:space="preserve">на работу </w:t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  <w:t>ЭТК — электронная трудовая книжка. Переход на новый формат учёта сведений о трудовой деятельности является добровольным и сделать выбор в пользу ЭТК можно в любое время.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Электронные книжки удобны с точки зрения организации дистанционной работы, которая особенно актуальна в сегодняшних условиях, — на фоне пандемии. </w:t>
      </w:r>
      <w:r>
        <w:rPr>
          <w:rFonts w:ascii="Liberation Sans" w:hAnsi="Liberation Sans"/>
          <w:b/>
          <w:bCs/>
          <w:sz w:val="28"/>
          <w:szCs w:val="28"/>
        </w:rPr>
        <w:t>В случае дистанционного трудоустройства работодателю можно направить сведения из ЭТК по электронной почте.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Кроме того, для оформления загранпаспорта или ипотеки ЭТК («сведения о трудовой деятельности») можно распечатать прямо в личном кабинете на портале Госуслуг или официальном сайте ПФР: </w:t>
      </w:r>
      <w:r>
        <w:rPr>
          <w:rFonts w:ascii="Liberation Sans" w:hAnsi="Liberation Sans"/>
          <w:b/>
          <w:bCs/>
          <w:sz w:val="28"/>
          <w:szCs w:val="28"/>
        </w:rPr>
        <w:t>она сразу будет заверена электронной подписью и действительна во всех инстанциях</w:t>
      </w:r>
      <w:r>
        <w:rPr>
          <w:rFonts w:ascii="Liberation Sans" w:hAnsi="Liberation Sans"/>
          <w:sz w:val="28"/>
          <w:szCs w:val="28"/>
        </w:rPr>
        <w:t>. Здесь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Напомним, что </w:t>
      </w:r>
      <w:r>
        <w:rPr>
          <w:rFonts w:ascii="Liberation Sans" w:hAnsi="Liberation Sans"/>
          <w:b/>
          <w:bCs/>
          <w:sz w:val="28"/>
          <w:szCs w:val="28"/>
        </w:rPr>
        <w:t>тот, кто подал заявление о сохранении трудовой книжки в бумажном формате, может в дальнейшем в любое время перейти на электронный вариант</w:t>
      </w:r>
      <w:r>
        <w:rPr>
          <w:rFonts w:ascii="Liberation Sans" w:hAnsi="Liberation Sans"/>
          <w:sz w:val="28"/>
          <w:szCs w:val="28"/>
        </w:rPr>
        <w:t>. Если человек так и не написал заявление, то у него оста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тся бумажная трудовая. Люди, выбравшие электронный формат, вернуться к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Liberation Sans" w:hAnsi="Liberation Sans"/>
          <w:b/>
          <w:bCs/>
          <w:color w:val="006699"/>
          <w:sz w:val="28"/>
          <w:szCs w:val="28"/>
        </w:rPr>
        <w:tab/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Для людей, впервые устраивающихся на работу в 2021 году, сведения о трудовой деятельности ведутся только в электронном виде.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2021-03-02T15:46:35Z</dcterms:modified>
  <cp:revision>104</cp:revision>
</cp:coreProperties>
</file>