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color w:val="006699"/>
        </w:rPr>
      </w:pPr>
      <w:r>
        <w:rPr>
          <w:rFonts w:ascii="Liberation Sans" w:hAnsi="Liberation Sans"/>
          <w:b/>
          <w:bCs/>
          <w:color w:val="006699"/>
          <w:sz w:val="28"/>
          <w:szCs w:val="28"/>
        </w:rPr>
        <w:t>04 марта</w:t>
      </w:r>
    </w:p>
    <w:p>
      <w:pPr>
        <w:pStyle w:val="Normal"/>
        <w:jc w:val="center"/>
        <w:rPr/>
      </w:pPr>
      <w:bookmarkStart w:id="0" w:name="__UnoMark__62_1809136464"/>
      <w:bookmarkEnd w:id="0"/>
      <w:r>
        <w:rPr>
          <w:rFonts w:ascii="Liberation Sans" w:hAnsi="Liberation Sans"/>
          <w:b/>
          <w:bCs/>
          <w:sz w:val="28"/>
          <w:szCs w:val="28"/>
        </w:rPr>
        <w:t>Какие периоды входят в стаж при назначении пенсии?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6"/>
          <w:szCs w:val="26"/>
        </w:rPr>
        <w:t xml:space="preserve">При назначении пенсии учитываются страховой стаж (при определении права на пенсию) и общий трудовой стаж (при расчете её размера). В то же время существуют </w:t>
      </w:r>
      <w:r>
        <w:rPr>
          <w:rFonts w:ascii="Liberation Sans" w:hAnsi="Liberation Sans"/>
          <w:b/>
          <w:bCs/>
          <w:sz w:val="26"/>
          <w:szCs w:val="26"/>
        </w:rPr>
        <w:t xml:space="preserve">периоды социально значимой деятельности </w:t>
      </w:r>
      <w:r>
        <w:rPr>
          <w:rFonts w:ascii="Liberation Sans" w:hAnsi="Liberation Sans"/>
          <w:sz w:val="26"/>
          <w:szCs w:val="26"/>
        </w:rPr>
        <w:t xml:space="preserve">— человек в это время не имеет возможности работать, но ему начисляются пенсионные баллы, а сам период засчитывается в страховой стаж. Это так называемые нестраховые периоды.  Что к ним относится? 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прохождения военной службы (1,8 балла за год);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получения пособия по обязательному социальному страхованию в период временной нетрудоспособности (больничный);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ухода одного из родителей за каждым ребёнком до достижения им возраста полутора лет, но не более шести лет в общей сложности: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1,8 балла за год по уходу за первым ребёнком (2,7 балла за 1,5 года)</w:t>
      </w:r>
    </w:p>
    <w:p>
      <w:pPr>
        <w:pStyle w:val="Normal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3,6 балла за год по уходу за вторым ребёнком (5,4 балла за 1,5 года)</w:t>
      </w:r>
    </w:p>
    <w:p>
      <w:pPr>
        <w:pStyle w:val="Normal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5,4 балла за год по уходу за третьим и четвёртым ребёнком (8,1 балла за 1,5 года)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ухода, осуществляемого трудоспособным гражданином за лицом, достигшим 80 лет, инвалидом 1 группы или ребёнком-инвалидом (1,8 балла за год);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проживание за границей супругов работников дипломатических представительств, консульских учреждений РФ, торговых представительств РФ и т.п., но не более пять лет в общей сложности;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содержание под стражей лиц, необоснованно привлеченных к уголовной ответственности, репрессированных и впоследствии реабилитированных, период отбывания наказания этими лицами в местах лишения свободы и ссылке;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Liberation Sans" w:hAnsi="Liberation Sans"/>
          <w:b/>
          <w:bCs/>
          <w:color w:val="006699"/>
          <w:sz w:val="26"/>
          <w:szCs w:val="26"/>
        </w:rPr>
        <w:tab/>
      </w:r>
      <w:r>
        <w:rPr>
          <w:rFonts w:cs="Times New Roman" w:ascii="Liberation Sans" w:hAnsi="Liberation Sans"/>
          <w:b w:val="false"/>
          <w:bCs w:val="false"/>
          <w:color w:val="000000"/>
          <w:sz w:val="26"/>
          <w:szCs w:val="26"/>
        </w:rPr>
        <w:t xml:space="preserve">Важно знать! Нестраховые периоды засчитываются в страховой стаж при условии, если им предшествовали и (или) за ним следовали периоды работы (не зависимо от их продолжительности), за которые уплачивались страховые взносы в Пенсионный фонд России. 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ListLabel1">
    <w:name w:val="ListLabel 1"/>
    <w:qFormat/>
    <w:rPr>
      <w:rFonts w:ascii="Liberation Sans" w:hAnsi="Liberation Sans"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2021-03-04T10:23:32Z</cp:lastPrinted>
  <dcterms:modified xsi:type="dcterms:W3CDTF">2021-03-04T10:24:32Z</dcterms:modified>
  <cp:revision>104</cp:revision>
</cp:coreProperties>
</file>