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C6" w:rsidRPr="007717C6" w:rsidRDefault="007717C6" w:rsidP="007717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7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717C6" w:rsidRPr="007717C6" w:rsidRDefault="007717C6" w:rsidP="007717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</w:pPr>
      <w:r w:rsidRPr="007717C6"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  <w:t>АДМИНИСТРАЦИИ ОЧКУРОВСКОГО СЕЛЬСКОГО ПОСЕЛЕНИЯ</w:t>
      </w:r>
    </w:p>
    <w:p w:rsidR="007717C6" w:rsidRPr="007717C6" w:rsidRDefault="007717C6" w:rsidP="007717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7C6"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  <w:t>НИКОЛАЕВСКОГО МУНИЦИПАЛЬНОГО РАЙОНА</w:t>
      </w:r>
    </w:p>
    <w:p w:rsidR="007717C6" w:rsidRPr="007717C6" w:rsidRDefault="007717C6" w:rsidP="007717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717C6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Волгоградской области</w:t>
      </w:r>
    </w:p>
    <w:p w:rsidR="007717C6" w:rsidRPr="007717C6" w:rsidRDefault="007717C6" w:rsidP="007717C6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7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0D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от   11.05.2023                                                                                                   № 19</w:t>
      </w:r>
    </w:p>
    <w:p w:rsidR="007717C6" w:rsidRPr="00CD68A3" w:rsidRDefault="007717C6" w:rsidP="007717C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области, администрация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 постановляет: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CD68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Утвердить Административный регламент по предоставлению муниципальной услуги «Присвоение адреса объекту адресации, изменение и аннулирование такого адреса».</w:t>
      </w:r>
    </w:p>
    <w:p w:rsidR="007717C6" w:rsidRPr="00CD68A3" w:rsidRDefault="007717C6" w:rsidP="00CD68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Николаевского района волгоградской области от 06.02.2013 г №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10  «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 по предоставлению муниципальной услуги "Присвоение (подтверждение) адреса градостроительному объекту (земельному участку, зданию, сооружению) на территории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поселения", признать утратившим силу </w:t>
      </w:r>
    </w:p>
    <w:p w:rsidR="007717C6" w:rsidRPr="00CD68A3" w:rsidRDefault="007717C6" w:rsidP="00CD6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3. Постановление вступает в силу со дня официального обнародования;</w:t>
      </w:r>
    </w:p>
    <w:p w:rsidR="007717C6" w:rsidRPr="00CD68A3" w:rsidRDefault="007717C6" w:rsidP="00CD6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7717C6" w:rsidRPr="00CD68A3" w:rsidRDefault="007717C6" w:rsidP="00CD68A3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Очкуровского</w:t>
      </w:r>
      <w:proofErr w:type="spellEnd"/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А.Д.Таранов</w:t>
      </w:r>
      <w:proofErr w:type="spellEnd"/>
    </w:p>
    <w:p w:rsidR="007717C6" w:rsidRPr="00CD68A3" w:rsidRDefault="007717C6" w:rsidP="007717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7717C6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A3366F" w:rsidRDefault="00A3366F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A3366F" w:rsidRPr="00CD68A3" w:rsidRDefault="00A3366F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b/>
          <w:i/>
          <w:color w:val="FF0000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Николаевского муниципального района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Волгоградской области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от 11.05.2023 г. № 19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«ПРИСВОЕНИЕ АДРЕСА ОБЪЕКТУ</w:t>
      </w:r>
      <w:r w:rsidR="00A3366F">
        <w:rPr>
          <w:rFonts w:ascii="Arial" w:eastAsia="Calibri" w:hAnsi="Arial" w:cs="Arial"/>
          <w:sz w:val="24"/>
          <w:szCs w:val="24"/>
          <w:lang w:eastAsia="ru-RU"/>
        </w:rPr>
        <w:t xml:space="preserve"> АДРЕСАЦИИ, ИЗМЕНЕНИЕ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 АННУЛИРОВАНИЕ ТАКОГО АДРЕСА»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тексту – административный регламент).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7717C6" w:rsidRPr="00CD68A3" w:rsidRDefault="007717C6" w:rsidP="007717C6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:rsidR="007717C6" w:rsidRPr="00CD68A3" w:rsidRDefault="007717C6" w:rsidP="007717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1) собственники объекта адресации;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право хозяйственного ведения;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право оперативного управления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право пожизненно наследуемого владения;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право постоянного (бессрочного) пользования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заявителя: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CD68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7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8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статьей 42.3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недвижимости, являющегося объектом адресации.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</w:t>
      </w:r>
      <w:proofErr w:type="gram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области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(далее -Администрация):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Волгоградская область, Николаевский район, с.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Очкуровка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>, ул. Юбилейная ,7,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Режим работы: понедельник –пятница с 8.00 до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17.00,перерыв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на обед с 12.00 до 13.00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8(84494) 5-25-86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 adm.ochkurowka@yandex.ru.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МФЦ: 404033, Волгоградская область, г. Николаевск, ул. Чайковского, дом 1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МФЦ: (84494) 6-43-03.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Режим работы МФЦ: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понедельник-среда, пятница: с 09.00 до 18.00;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четверг: с 09.00 до 20.00;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суббота: с 09.00 до 13.00;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CD68A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http://mfc.volganet.ru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непосредственно 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</w:t>
      </w:r>
      <w:proofErr w:type="gram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области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информационные стенды, устное информирование по телефону, а также на личном приеме муниципальными служащими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 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.);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 почте, в том числе электронной (</w:t>
      </w:r>
      <w:r w:rsidRPr="00CD68A3">
        <w:rPr>
          <w:rFonts w:ascii="Arial" w:eastAsia="Calibri" w:hAnsi="Arial" w:cs="Arial"/>
          <w:color w:val="999999"/>
          <w:sz w:val="24"/>
          <w:szCs w:val="24"/>
          <w:shd w:val="clear" w:color="auto" w:fill="FFFFFF"/>
          <w:lang w:eastAsia="ru-RU"/>
        </w:rPr>
        <w:t>adm.ochkurowka@yandex.ru</w:t>
      </w:r>
      <w:r w:rsidRPr="00CD68A3" w:rsidDel="0057055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),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случае письменного обращения заявителя;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федеральной информационной адресной системы </w:t>
      </w:r>
      <w:r w:rsidRPr="00CD68A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(https://fias.nalog.ru/) (далее –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портал адресной системы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в сети Интернет на официальном сайте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 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(https://ochkurovka.ru/)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и муниципальных услуг) (</w:t>
      </w:r>
      <w:hyperlink r:id="rId10" w:history="1">
        <w:r w:rsidRPr="00CD68A3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CD68A3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CD68A3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CD68A3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CD68A3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7717C6" w:rsidRPr="00CD68A3" w:rsidRDefault="007717C6" w:rsidP="007717C6">
      <w:pPr>
        <w:tabs>
          <w:tab w:val="left" w:pos="2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7717C6" w:rsidRPr="00CD68A3" w:rsidRDefault="007717C6" w:rsidP="007717C6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2.2. Органы и организации, участвующие в предоставлении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2.2.1. Органом, предоставляющим муниципальную услугу,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является 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Администрации</w:t>
      </w:r>
      <w:proofErr w:type="gram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 Волгоградской области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2.2.3. Межведомственное информационное взаимодействие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с требованиями Федерального закона от 27.07.2010 № 210-ФЗ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(далее также – Федеральный закон № 210-ФЗ)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Результатом предоставления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CD68A3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услуги является: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№ 211 - 212, 30.10.2001);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Градостроительный кодекс Российской Федерации </w:t>
      </w:r>
      <w:r w:rsidRPr="00CD68A3">
        <w:rPr>
          <w:rFonts w:ascii="Arial" w:eastAsia="Calibri" w:hAnsi="Arial" w:cs="Arial"/>
          <w:sz w:val="24"/>
          <w:szCs w:val="24"/>
        </w:rPr>
        <w:t xml:space="preserve">от 29.12.2004 </w:t>
      </w:r>
      <w:r w:rsidRPr="00CD68A3">
        <w:rPr>
          <w:rFonts w:ascii="Arial" w:eastAsia="Calibri" w:hAnsi="Arial" w:cs="Arial"/>
          <w:sz w:val="24"/>
          <w:szCs w:val="24"/>
        </w:rPr>
        <w:br/>
        <w:t xml:space="preserve">№ 190-ФЗ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CD68A3">
        <w:rPr>
          <w:rFonts w:ascii="Arial" w:eastAsia="Calibri" w:hAnsi="Arial" w:cs="Arial"/>
          <w:sz w:val="24"/>
          <w:szCs w:val="24"/>
        </w:rPr>
        <w:t xml:space="preserve">Собрание законодательства РФ, 03.01.2005, № 1 (часть 1),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</w:rPr>
        <w:t>ст. 16,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5-6, 14.01.2005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организации местного самоуправления в Российской Федерации»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CD68A3">
        <w:rPr>
          <w:rFonts w:ascii="Arial" w:eastAsia="Calibri" w:hAnsi="Arial" w:cs="Arial"/>
          <w:sz w:val="24"/>
          <w:szCs w:val="24"/>
        </w:rPr>
        <w:t>Российская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 xml:space="preserve">, № 165, 29.07.2006,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 xml:space="preserve">, 31.07.2006, № 31 (1 ч.), ст. 3448,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126-127, 03.08.2006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CD68A3">
        <w:rPr>
          <w:rFonts w:ascii="Arial" w:eastAsia="Calibri" w:hAnsi="Arial" w:cs="Arial"/>
          <w:sz w:val="24"/>
          <w:szCs w:val="24"/>
        </w:rPr>
        <w:t xml:space="preserve">Собрание законодательства РФ, 30.07.2007, </w:t>
      </w:r>
      <w:r w:rsidRPr="00CD68A3">
        <w:rPr>
          <w:rFonts w:ascii="Arial" w:eastAsia="Calibri" w:hAnsi="Arial" w:cs="Arial"/>
          <w:sz w:val="24"/>
          <w:szCs w:val="24"/>
        </w:rPr>
        <w:br/>
        <w:t>№ 31, ст. 4017,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Российская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 xml:space="preserve">, № 165, 01.08.2007,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99-101, 09.08.2007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CD68A3">
        <w:rPr>
          <w:rFonts w:ascii="Arial" w:eastAsia="Calibri" w:hAnsi="Arial" w:cs="Arial"/>
          <w:sz w:val="24"/>
          <w:szCs w:val="24"/>
        </w:rPr>
        <w:t xml:space="preserve">Официальный </w:t>
      </w:r>
      <w:r w:rsidRPr="00CD68A3">
        <w:rPr>
          <w:rFonts w:ascii="Arial" w:eastAsia="Calibri" w:hAnsi="Arial" w:cs="Arial"/>
          <w:sz w:val="24"/>
          <w:szCs w:val="24"/>
        </w:rPr>
        <w:br/>
        <w:t xml:space="preserve">интернет-портал правовой информации http://pravo.gov.ru, 30.12.2013,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Российская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295, 30.12.2013,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30.12.2013, № 52 (часть I), ст. 7008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30.09.2004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№ 506 «Об утверждении Положения о Федеральной налоговой службе» (</w:t>
      </w:r>
      <w:r w:rsidRPr="00CD68A3">
        <w:rPr>
          <w:rFonts w:ascii="Arial" w:eastAsia="Calibri" w:hAnsi="Arial" w:cs="Arial"/>
          <w:sz w:val="24"/>
          <w:szCs w:val="24"/>
        </w:rPr>
        <w:t>«Собрание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 xml:space="preserve">, 04.10.2004, № 40, ст. 3961,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Российская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219, 06.10.2004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29.04.2014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CD68A3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12.05.2014, № 19, ст. 2418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CD68A3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</w:t>
      </w:r>
      <w:r w:rsidRPr="00CD68A3">
        <w:rPr>
          <w:rFonts w:ascii="Arial" w:eastAsia="Calibri" w:hAnsi="Arial" w:cs="Arial"/>
          <w:sz w:val="24"/>
          <w:szCs w:val="24"/>
        </w:rPr>
        <w:lastRenderedPageBreak/>
        <w:t>http://www.pravo.gov.ru, 24.11.2014,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01.12.2014, № 48, ст. 6861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);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22.05.2015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CD68A3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CD68A3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01.06.2015, № 22, ст. 3227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CD68A3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12.02.2015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адресообразующих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элементов» (</w:t>
      </w:r>
      <w:r w:rsidRPr="00CD68A3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15.12.2015,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Российская газета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294, 28.12.2015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CD68A3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22.07.2016,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CD68A3">
        <w:rPr>
          <w:rFonts w:ascii="Arial" w:eastAsia="Calibri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CD68A3">
        <w:rPr>
          <w:rFonts w:ascii="Arial" w:eastAsia="Calibri" w:hAnsi="Arial" w:cs="Arial"/>
          <w:sz w:val="24"/>
          <w:szCs w:val="24"/>
        </w:rPr>
        <w:t>, № 34, 22.08.2016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proofErr w:type="spellStart"/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сельского поселения Николаевского муниципального района Волгоградской области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 w:rsidDel="00633FD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w:anchor="Par411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подпись) (в случае, если представитель заявителя действует на основании доверенности). 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1) правоустанавливающие и (или)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ГрК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</w:hyperlink>
      <w:hyperlink r:id="rId13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 xml:space="preserve">1, 3, 4, 6, 7 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7717C6" w:rsidRPr="00CD68A3" w:rsidRDefault="007717C6" w:rsidP="007717C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представленный ранее комплект документов;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lightGray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717C6" w:rsidRPr="00CD68A3" w:rsidRDefault="007717C6" w:rsidP="007717C6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2.7.1.5. предоставления на бумажном носителе документов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информации, электронные образы которых ранее были заверены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соответствии с пунктом 7.2 части 1 статьи 16 Федерального закона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7717C6" w:rsidRPr="00CD68A3" w:rsidRDefault="007717C6" w:rsidP="007717C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заявителем не представлены документы, указанные в пункте 2.6.1 настоящего административного регламента;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статьей 11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2.9.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7717C6" w:rsidRPr="00CD68A3" w:rsidRDefault="007717C6" w:rsidP="007717C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 1) с заявлением обратилось лицо, не указанное в пункте 1.2</w:t>
      </w:r>
      <w:r w:rsidRPr="00CD68A3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 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7717C6" w:rsidRPr="00CD68A3" w:rsidRDefault="007717C6" w:rsidP="007717C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был представлен заявителем (представителем заявителя) по собственной инициативе; </w:t>
      </w:r>
    </w:p>
    <w:p w:rsidR="007717C6" w:rsidRPr="00CD68A3" w:rsidRDefault="007717C6" w:rsidP="007717C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7717C6" w:rsidRPr="00CD68A3" w:rsidRDefault="007717C6" w:rsidP="007717C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8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0" w:history="1">
        <w:r w:rsidRPr="00CD68A3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CD68A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Правил. 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7717C6" w:rsidRPr="00CD68A3" w:rsidRDefault="007717C6" w:rsidP="007717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>- на личном приеме граждан  – не более 15 минут;</w:t>
      </w:r>
    </w:p>
    <w:p w:rsidR="007717C6" w:rsidRPr="00CD68A3" w:rsidRDefault="007717C6" w:rsidP="007717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>посредством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 Един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 xml:space="preserve">ого 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>портал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>, портала адресной системы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 или через МФЦ – 1 рабочий день.</w:t>
      </w:r>
    </w:p>
    <w:p w:rsidR="007717C6" w:rsidRPr="00CD68A3" w:rsidRDefault="007717C6" w:rsidP="007717C6">
      <w:pPr>
        <w:tabs>
          <w:tab w:val="left" w:pos="11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Помещения уполномоченного органа должны соответствовать</w:t>
      </w:r>
      <w:r w:rsidRPr="00CD68A3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  <w:r w:rsidRPr="00CD68A3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 быть оборудованы средствами пожаротушения.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2.13.2. Требования к местам ожидания.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Места ожидания должны быть оборудованы стульями, кресельными секциями, скамьями.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и копирующим устройствам.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справочные телефоны;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CD68A3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www.gosuslugi.ru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>) и на официальном сайте уполномоченного органа (</w:t>
      </w:r>
      <w:r w:rsidRPr="00CD68A3">
        <w:rPr>
          <w:rFonts w:ascii="Arial" w:eastAsia="Calibri" w:hAnsi="Arial" w:cs="Arial"/>
          <w:i/>
          <w:sz w:val="24"/>
          <w:szCs w:val="24"/>
          <w:lang w:eastAsia="ru-RU"/>
        </w:rPr>
        <w:t>адрес сайта _______).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оказание специалистами помощи инвалидам в посадке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транспортное средство и высадке из него перед входом в помещения,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которых предоставляется муниципальная услуга, в том числе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с использованием кресла-коляски;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возможность самостоятельного передвижения инвалидов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помещения и к услугам, с учетом ограничений их жизнедеятельности;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сурдопереводчика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proofErr w:type="spellStart"/>
      <w:r w:rsidRPr="00CD68A3">
        <w:rPr>
          <w:rFonts w:ascii="Arial" w:eastAsia="Calibri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CD68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сфере социальной защиты населения;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оказание специалистами иной необходимой помощи инвалидам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преодолении барьеров, препятствующих получению ими услуг наравне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с другими лицами.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r w:rsidRPr="00CD68A3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7717C6" w:rsidRPr="00CD68A3" w:rsidRDefault="007717C6" w:rsidP="007717C6">
      <w:pPr>
        <w:spacing w:after="0" w:line="216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trike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717C6" w:rsidRPr="00CD68A3" w:rsidRDefault="007717C6" w:rsidP="007717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а) прием и регистрация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заявления  (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>отказ в приеме к рассмотрению заявления);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D68A3">
        <w:rPr>
          <w:rFonts w:ascii="Arial" w:eastAsia="Calibri" w:hAnsi="Arial" w:cs="Arial"/>
          <w:sz w:val="24"/>
          <w:szCs w:val="24"/>
        </w:rPr>
        <w:t xml:space="preserve">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</w:rPr>
        <w:t xml:space="preserve">3.2.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Прием и регистрация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заявления  (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>отказ в приеме к рассмотрению заявления):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</w:rPr>
        <w:t>3.2.1.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7717C6" w:rsidRPr="00CD68A3" w:rsidRDefault="007717C6" w:rsidP="007717C6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7717C6" w:rsidRPr="00CD68A3" w:rsidRDefault="007717C6" w:rsidP="007717C6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717C6" w:rsidRPr="00CD68A3" w:rsidRDefault="007717C6" w:rsidP="007717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717C6" w:rsidRPr="00CD68A3" w:rsidRDefault="007717C6" w:rsidP="007717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статье 11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статьи 11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кабинет на Едином портале государственных и муниципальных услуг.</w:t>
      </w:r>
    </w:p>
    <w:p w:rsidR="007717C6" w:rsidRPr="00CD68A3" w:rsidRDefault="007717C6" w:rsidP="007717C6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, портал адресной системы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портала адресной системы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7717C6" w:rsidRPr="00CD68A3" w:rsidRDefault="007717C6" w:rsidP="007717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CD68A3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сообщения о получении документов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- направление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уведомления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24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пункте 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</w:rPr>
        <w:t>3.4. Р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ассмотрение документов, в том числе полученных по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D68A3">
        <w:rPr>
          <w:rFonts w:ascii="Arial" w:eastAsia="Calibri" w:hAnsi="Arial" w:cs="Arial"/>
          <w:sz w:val="24"/>
          <w:szCs w:val="24"/>
        </w:rPr>
        <w:t xml:space="preserve">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D68A3">
        <w:rPr>
          <w:rFonts w:ascii="Arial" w:eastAsia="Calibri" w:hAnsi="Arial" w:cs="Arial"/>
          <w:sz w:val="24"/>
          <w:szCs w:val="24"/>
        </w:rPr>
        <w:t xml:space="preserve">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>9.2 настоящего административного регламента.</w:t>
      </w:r>
    </w:p>
    <w:p w:rsidR="007717C6" w:rsidRPr="00CD68A3" w:rsidRDefault="007717C6" w:rsidP="007717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br/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процедуры – 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 рабочих дня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>с</w:t>
      </w:r>
      <w:r w:rsidRPr="00CD68A3">
        <w:rPr>
          <w:rFonts w:ascii="Arial" w:eastAsia="Calibri" w:hAnsi="Arial" w:cs="Arial"/>
          <w:sz w:val="24"/>
          <w:szCs w:val="24"/>
          <w:lang w:eastAsia="x-none"/>
        </w:rPr>
        <w:t>о дня</w:t>
      </w:r>
      <w:r w:rsidRPr="00CD68A3">
        <w:rPr>
          <w:rFonts w:ascii="Arial" w:eastAsia="Calibri" w:hAnsi="Arial" w:cs="Arial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red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7717C6" w:rsidRPr="00CD68A3" w:rsidRDefault="007717C6" w:rsidP="007717C6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7717C6" w:rsidRPr="00CD68A3" w:rsidRDefault="007717C6" w:rsidP="007717C6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адреса)   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>регистрируется специалистом уполномоченного органа в порядке, установленном действующим законодательством.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3.5.4. Максимальный срок выполнения административной процедуры - 1 рабочий день.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D68A3">
        <w:rPr>
          <w:rFonts w:ascii="Arial" w:eastAsia="Calibri" w:hAnsi="Arial" w:cs="Arial"/>
          <w:sz w:val="24"/>
          <w:szCs w:val="24"/>
        </w:rPr>
        <w:t xml:space="preserve">3.6.1.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3.6.4. Решение о присвоении объекту адресации адреса или аннулировании его адреса подлежит обязательному внесению уполномоченным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органом в государственный адресный реестр в течение 3 рабочих дней со дня принятия такого решения.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717C6" w:rsidRPr="00CD68A3" w:rsidRDefault="007717C6" w:rsidP="007717C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717C6" w:rsidRPr="00CD68A3" w:rsidRDefault="007717C6" w:rsidP="007717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формирование запроса;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CD68A3">
        <w:rPr>
          <w:rFonts w:ascii="Arial" w:eastAsia="Calibri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4.1. Контроль за соблюдением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должностными лицами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и включает в себя проведение проверок полноты и качества предоставления муниципальной услуги. Плановые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внеплановые проверки проводятся уполномоченными должностными лицами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 распоряжения руководителя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</w:t>
      </w:r>
      <w:proofErr w:type="gram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поселения  Николаевского</w:t>
      </w:r>
      <w:proofErr w:type="gram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муниципального района 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целом.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4.4. По результатам проведенной проверки составляется акт,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на проведение проверки.</w:t>
      </w:r>
    </w:p>
    <w:p w:rsidR="007717C6" w:rsidRPr="00CD68A3" w:rsidRDefault="007717C6" w:rsidP="007717C6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 последовательности исполнения административных действий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717C6" w:rsidRPr="00CD68A3" w:rsidRDefault="007717C6" w:rsidP="007717C6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</w:p>
    <w:p w:rsidR="007717C6" w:rsidRPr="00CD68A3" w:rsidRDefault="007717C6" w:rsidP="007717C6">
      <w:pPr>
        <w:autoSpaceDE w:val="0"/>
        <w:spacing w:after="0" w:line="240" w:lineRule="auto"/>
        <w:ind w:right="-16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и действий (бездействия)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МФЦ,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6" w:history="1">
        <w:r w:rsidRPr="00CD68A3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</w:t>
      </w:r>
      <w:r w:rsidRPr="00CD68A3">
        <w:rPr>
          <w:rFonts w:ascii="Arial" w:eastAsia="Calibri" w:hAnsi="Arial" w:cs="Arial"/>
          <w:bCs/>
          <w:color w:val="FF0000"/>
          <w:sz w:val="24"/>
          <w:szCs w:val="24"/>
          <w:vertAlign w:val="superscript"/>
          <w:lang w:eastAsia="ru-RU"/>
        </w:rPr>
        <w:footnoteReference w:id="1"/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7" w:history="1">
        <w:r w:rsidRPr="00CD68A3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  <w:r w:rsidRPr="00CD68A3">
        <w:rPr>
          <w:rFonts w:ascii="Arial" w:eastAsia="Calibri" w:hAnsi="Arial" w:cs="Arial"/>
          <w:bCs/>
          <w:color w:val="FF0000"/>
          <w:sz w:val="24"/>
          <w:szCs w:val="24"/>
          <w:vertAlign w:val="superscript"/>
          <w:lang w:eastAsia="ru-RU"/>
        </w:rPr>
        <w:t>2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717C6" w:rsidRPr="00CD68A3" w:rsidRDefault="007717C6" w:rsidP="007717C6">
      <w:pPr>
        <w:autoSpaceDE w:val="0"/>
        <w:spacing w:after="0" w:line="235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муниципальной  услуги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7) отказ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МФЦ, работника МФЦ, организаций, предусмотренных </w:t>
      </w:r>
      <w:hyperlink r:id="rId31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3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6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должностного лица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служащего, руководителя комитета экономической политики и развития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717C6" w:rsidRPr="00CD68A3" w:rsidRDefault="007717C6" w:rsidP="007717C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5.4. Жалоба должна содержать: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CD68A3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39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должностного лица,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40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, должностного лица</w:t>
      </w:r>
      <w:r w:rsidRPr="00CD68A3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или муниципального служащего, МФЦ, работника МФЦ, организаций,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предусмотренных </w:t>
      </w:r>
      <w:hyperlink r:id="rId41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2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43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, МФЦ, организаций, предусмотренных </w:t>
      </w:r>
      <w:hyperlink r:id="rId44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717C6" w:rsidRPr="00CD68A3" w:rsidRDefault="007717C6" w:rsidP="007717C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</w:t>
      </w:r>
      <w:proofErr w:type="gram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поселения  Николаевского</w:t>
      </w:r>
      <w:proofErr w:type="gram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лиц, муниципальных служащих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</w:t>
      </w:r>
      <w:r w:rsidRPr="00CD68A3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717C6" w:rsidRPr="00CD68A3" w:rsidRDefault="007717C6" w:rsidP="0077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717C6" w:rsidRPr="00CD68A3" w:rsidRDefault="007717C6" w:rsidP="007717C6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17C6" w:rsidRPr="00CD68A3" w:rsidRDefault="007717C6" w:rsidP="00771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</w:t>
      </w:r>
      <w:proofErr w:type="gram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поселения  Николаевского</w:t>
      </w:r>
      <w:proofErr w:type="gram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муниципального района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работник наделенные </w:t>
      </w:r>
      <w:r w:rsidRPr="00CD68A3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717C6" w:rsidRPr="00CD68A3" w:rsidRDefault="007717C6" w:rsidP="007717C6">
      <w:pPr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лиц, муниципальных служащих </w:t>
      </w:r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>Очкуровского</w:t>
      </w:r>
      <w:proofErr w:type="spellEnd"/>
      <w:r w:rsidRPr="00CD68A3">
        <w:rPr>
          <w:rFonts w:ascii="Arial" w:eastAsia="Calibri" w:hAnsi="Arial" w:cs="Arial"/>
          <w:iCs/>
          <w:sz w:val="24"/>
          <w:szCs w:val="24"/>
          <w:lang w:eastAsia="ru-RU"/>
        </w:rPr>
        <w:t xml:space="preserve"> сельского поселения  Николаевского муниципального района </w:t>
      </w:r>
      <w:r w:rsidRPr="00CD68A3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,</w:t>
      </w:r>
      <w:r w:rsidRPr="00CD68A3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9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717C6" w:rsidRPr="00CD68A3" w:rsidRDefault="007717C6" w:rsidP="007717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7717C6" w:rsidRPr="00CD68A3" w:rsidRDefault="007717C6" w:rsidP="007717C6">
      <w:pPr>
        <w:autoSpaceDE w:val="0"/>
        <w:spacing w:after="0" w:line="240" w:lineRule="auto"/>
        <w:ind w:right="-16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autoSpaceDE w:val="0"/>
        <w:spacing w:after="0" w:line="240" w:lineRule="auto"/>
        <w:ind w:left="7080" w:right="-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br w:type="page"/>
      </w: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к административному регламенту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553"/>
      <w:bookmarkEnd w:id="0"/>
      <w:r w:rsidRPr="00CD68A3">
        <w:rPr>
          <w:rFonts w:ascii="Arial" w:eastAsia="Calibri" w:hAnsi="Arial" w:cs="Arial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(вид документа)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</w:t>
      </w:r>
      <w:proofErr w:type="gramStart"/>
      <w:r w:rsidRPr="00CD68A3">
        <w:rPr>
          <w:rFonts w:ascii="Arial" w:eastAsia="Calibri" w:hAnsi="Arial" w:cs="Arial"/>
          <w:sz w:val="24"/>
          <w:szCs w:val="24"/>
          <w:lang w:eastAsia="ru-RU"/>
        </w:rPr>
        <w:t>№  _</w:t>
      </w:r>
      <w:proofErr w:type="gramEnd"/>
      <w:r w:rsidRPr="00CD68A3">
        <w:rPr>
          <w:rFonts w:ascii="Arial" w:eastAsia="Calibri" w:hAnsi="Arial" w:cs="Arial"/>
          <w:sz w:val="24"/>
          <w:szCs w:val="24"/>
          <w:lang w:eastAsia="ru-RU"/>
        </w:rPr>
        <w:t>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На  основании  Федерального  </w:t>
      </w:r>
      <w:hyperlink r:id="rId50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1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2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3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1. Присвоить адрес 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следующему объекту адресации 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(вид, наименование, описание местонахождения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кадастровый номер объекта недвижимости, являющегося объектом адресации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учет объекту недвижимости),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аннулируемый адрес объекта адресации и уникальный номер аннулируемого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(при наличии)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65FCF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_______</w:t>
      </w:r>
      <w:r w:rsidR="007717C6"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     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Приложение 2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632"/>
      <w:bookmarkEnd w:id="1"/>
      <w:r w:rsidRPr="00CD68A3">
        <w:rPr>
          <w:rFonts w:ascii="Arial" w:eastAsia="Calibri" w:hAnsi="Arial" w:cs="Arial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(вид документа)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№ 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На  основании  Федерального  </w:t>
      </w:r>
      <w:hyperlink r:id="rId54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5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6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7" w:history="1">
        <w:r w:rsidRPr="00CD68A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1. Аннулировать адрес 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(аннулируемый адрес объекта адресации, уникальный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объекта адресации 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(вид и наименование объекта адресации,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(в случае аннулирования адреса объекта адресации в связи с прекращением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существования объекта адресации и (или) снятия с государственного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реквизиты решения о присвоении объекту адресации адреса и кадастровый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номер объекта адресации (в случае аннулирования адреса объекта адресации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5FCF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(при наличии)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>по причине ________________________________________________________________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65FCF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__________</w:t>
      </w:r>
      <w:bookmarkStart w:id="2" w:name="_GoBack"/>
      <w:bookmarkEnd w:id="2"/>
      <w:r w:rsidR="007717C6" w:rsidRPr="00CD68A3">
        <w:rPr>
          <w:rFonts w:ascii="Arial" w:eastAsia="Calibri" w:hAnsi="Arial" w:cs="Arial"/>
          <w:sz w:val="24"/>
          <w:szCs w:val="24"/>
          <w:lang w:eastAsia="ru-RU"/>
        </w:rPr>
        <w:t>____________________     _____________________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8A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717C6" w:rsidRPr="00CD68A3" w:rsidRDefault="007717C6" w:rsidP="007717C6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AA01F9" w:rsidRPr="00CD68A3" w:rsidRDefault="00AA01F9">
      <w:pPr>
        <w:rPr>
          <w:rFonts w:ascii="Arial" w:hAnsi="Arial" w:cs="Arial"/>
          <w:sz w:val="24"/>
          <w:szCs w:val="24"/>
        </w:rPr>
      </w:pPr>
    </w:p>
    <w:sectPr w:rsidR="00AA01F9" w:rsidRPr="00CD68A3" w:rsidSect="007B74FA">
      <w:headerReference w:type="default" r:id="rId58"/>
      <w:footerReference w:type="default" r:id="rId59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6D" w:rsidRDefault="007D646D" w:rsidP="007717C6">
      <w:pPr>
        <w:spacing w:after="0" w:line="240" w:lineRule="auto"/>
      </w:pPr>
      <w:r>
        <w:separator/>
      </w:r>
    </w:p>
  </w:endnote>
  <w:endnote w:type="continuationSeparator" w:id="0">
    <w:p w:rsidR="007D646D" w:rsidRDefault="007D646D" w:rsidP="0077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D" w:rsidRDefault="007D646D" w:rsidP="004063B6">
    <w:pPr>
      <w:pStyle w:val="a7"/>
      <w:jc w:val="center"/>
    </w:pPr>
  </w:p>
  <w:p w:rsidR="002815CD" w:rsidRDefault="007C371E" w:rsidP="00040D8B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6D" w:rsidRDefault="007D646D" w:rsidP="007717C6">
      <w:pPr>
        <w:spacing w:after="0" w:line="240" w:lineRule="auto"/>
      </w:pPr>
      <w:r>
        <w:separator/>
      </w:r>
    </w:p>
  </w:footnote>
  <w:footnote w:type="continuationSeparator" w:id="0">
    <w:p w:rsidR="007D646D" w:rsidRDefault="007D646D" w:rsidP="007717C6">
      <w:pPr>
        <w:spacing w:after="0" w:line="240" w:lineRule="auto"/>
      </w:pPr>
      <w:r>
        <w:continuationSeparator/>
      </w:r>
    </w:p>
  </w:footnote>
  <w:footnote w:id="1">
    <w:p w:rsidR="007717C6" w:rsidRPr="007025B9" w:rsidRDefault="007717C6" w:rsidP="007717C6">
      <w:pPr>
        <w:pStyle w:val="ac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CD" w:rsidRDefault="007C371E" w:rsidP="00BA4F15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5FCF">
      <w:rPr>
        <w:rStyle w:val="af"/>
        <w:noProof/>
      </w:rPr>
      <w:t>27</w:t>
    </w:r>
    <w:r>
      <w:rPr>
        <w:rStyle w:val="af"/>
      </w:rPr>
      <w:fldChar w:fldCharType="end"/>
    </w:r>
  </w:p>
  <w:p w:rsidR="002815CD" w:rsidRDefault="007D64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AA04F03"/>
    <w:multiLevelType w:val="hybridMultilevel"/>
    <w:tmpl w:val="78CCC28C"/>
    <w:lvl w:ilvl="0" w:tplc="0419000F">
      <w:start w:val="1"/>
      <w:numFmt w:val="decimal"/>
      <w:lvlText w:val="%1."/>
      <w:lvlJc w:val="left"/>
      <w:pPr>
        <w:ind w:left="12570" w:hanging="360"/>
      </w:pPr>
    </w:lvl>
    <w:lvl w:ilvl="1" w:tplc="04190019" w:tentative="1">
      <w:start w:val="1"/>
      <w:numFmt w:val="lowerLetter"/>
      <w:lvlText w:val="%2."/>
      <w:lvlJc w:val="left"/>
      <w:pPr>
        <w:ind w:left="13290" w:hanging="360"/>
      </w:pPr>
    </w:lvl>
    <w:lvl w:ilvl="2" w:tplc="0419001B" w:tentative="1">
      <w:start w:val="1"/>
      <w:numFmt w:val="lowerRoman"/>
      <w:lvlText w:val="%3."/>
      <w:lvlJc w:val="right"/>
      <w:pPr>
        <w:ind w:left="14010" w:hanging="180"/>
      </w:pPr>
    </w:lvl>
    <w:lvl w:ilvl="3" w:tplc="0419000F" w:tentative="1">
      <w:start w:val="1"/>
      <w:numFmt w:val="decimal"/>
      <w:lvlText w:val="%4."/>
      <w:lvlJc w:val="left"/>
      <w:pPr>
        <w:ind w:left="14730" w:hanging="360"/>
      </w:pPr>
    </w:lvl>
    <w:lvl w:ilvl="4" w:tplc="04190019" w:tentative="1">
      <w:start w:val="1"/>
      <w:numFmt w:val="lowerLetter"/>
      <w:lvlText w:val="%5."/>
      <w:lvlJc w:val="left"/>
      <w:pPr>
        <w:ind w:left="15450" w:hanging="360"/>
      </w:pPr>
    </w:lvl>
    <w:lvl w:ilvl="5" w:tplc="0419001B" w:tentative="1">
      <w:start w:val="1"/>
      <w:numFmt w:val="lowerRoman"/>
      <w:lvlText w:val="%6."/>
      <w:lvlJc w:val="right"/>
      <w:pPr>
        <w:ind w:left="16170" w:hanging="180"/>
      </w:pPr>
    </w:lvl>
    <w:lvl w:ilvl="6" w:tplc="0419000F" w:tentative="1">
      <w:start w:val="1"/>
      <w:numFmt w:val="decimal"/>
      <w:lvlText w:val="%7."/>
      <w:lvlJc w:val="left"/>
      <w:pPr>
        <w:ind w:left="16890" w:hanging="360"/>
      </w:pPr>
    </w:lvl>
    <w:lvl w:ilvl="7" w:tplc="04190019" w:tentative="1">
      <w:start w:val="1"/>
      <w:numFmt w:val="lowerLetter"/>
      <w:lvlText w:val="%8."/>
      <w:lvlJc w:val="left"/>
      <w:pPr>
        <w:ind w:left="17610" w:hanging="360"/>
      </w:pPr>
    </w:lvl>
    <w:lvl w:ilvl="8" w:tplc="0419001B" w:tentative="1">
      <w:start w:val="1"/>
      <w:numFmt w:val="lowerRoman"/>
      <w:lvlText w:val="%9."/>
      <w:lvlJc w:val="right"/>
      <w:pPr>
        <w:ind w:left="18330" w:hanging="180"/>
      </w:pPr>
    </w:lvl>
  </w:abstractNum>
  <w:abstractNum w:abstractNumId="4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2E3B"/>
    <w:multiLevelType w:val="hybridMultilevel"/>
    <w:tmpl w:val="6914C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C3460"/>
    <w:multiLevelType w:val="hybridMultilevel"/>
    <w:tmpl w:val="0000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6"/>
    <w:rsid w:val="00765FCF"/>
    <w:rsid w:val="007717C6"/>
    <w:rsid w:val="007C371E"/>
    <w:rsid w:val="007D646D"/>
    <w:rsid w:val="00A3366F"/>
    <w:rsid w:val="00AA01F9"/>
    <w:rsid w:val="00C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032"/>
  <w15:chartTrackingRefBased/>
  <w15:docId w15:val="{865CB8EC-607C-46F7-A577-6D5A11D2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717C6"/>
  </w:style>
  <w:style w:type="paragraph" w:customStyle="1" w:styleId="ConsPlusNormal">
    <w:name w:val="ConsPlusNormal"/>
    <w:link w:val="ConsPlusNormal0"/>
    <w:rsid w:val="007717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7717C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7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7717C6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Normal (Web)"/>
    <w:basedOn w:val="a"/>
    <w:rsid w:val="007717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17C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7717C6"/>
    <w:rPr>
      <w:b/>
      <w:sz w:val="27"/>
      <w:shd w:val="clear" w:color="auto" w:fill="FFFFFF"/>
    </w:rPr>
  </w:style>
  <w:style w:type="character" w:styleId="a4">
    <w:name w:val="line number"/>
    <w:semiHidden/>
    <w:rsid w:val="007717C6"/>
    <w:rPr>
      <w:rFonts w:cs="Times New Roman"/>
    </w:rPr>
  </w:style>
  <w:style w:type="paragraph" w:styleId="a5">
    <w:name w:val="header"/>
    <w:basedOn w:val="a"/>
    <w:link w:val="a6"/>
    <w:rsid w:val="00771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7717C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771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7717C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7717C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7717C6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7717C6"/>
    <w:rPr>
      <w:rFonts w:ascii="Calibri" w:eastAsia="Calibri" w:hAnsi="Calibri" w:cs="Times New Roman"/>
      <w:szCs w:val="20"/>
      <w:lang w:eastAsia="ru-RU"/>
    </w:rPr>
  </w:style>
  <w:style w:type="character" w:styleId="ab">
    <w:name w:val="Hyperlink"/>
    <w:rsid w:val="007717C6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7717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7717C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7717C6"/>
    <w:rPr>
      <w:rFonts w:cs="Times New Roman"/>
      <w:vertAlign w:val="superscript"/>
    </w:rPr>
  </w:style>
  <w:style w:type="character" w:styleId="af">
    <w:name w:val="page number"/>
    <w:rsid w:val="007717C6"/>
    <w:rPr>
      <w:rFonts w:cs="Times New Roman"/>
    </w:rPr>
  </w:style>
  <w:style w:type="paragraph" w:styleId="af0">
    <w:name w:val="Document Map"/>
    <w:basedOn w:val="a"/>
    <w:link w:val="af1"/>
    <w:semiHidden/>
    <w:rsid w:val="007717C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717C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"/>
    <w:rsid w:val="007717C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7717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7717C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4">
    <w:name w:val="endnote reference"/>
    <w:rsid w:val="007717C6"/>
    <w:rPr>
      <w:vertAlign w:val="superscript"/>
    </w:rPr>
  </w:style>
  <w:style w:type="paragraph" w:customStyle="1" w:styleId="ConsPlusCell">
    <w:name w:val="ConsPlusCell"/>
    <w:rsid w:val="00771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771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771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717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5">
    <w:name w:val="Revision"/>
    <w:hidden/>
    <w:uiPriority w:val="99"/>
    <w:semiHidden/>
    <w:rsid w:val="00771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EB999784B1241BEB3D77106CEEDB75DA4450D75443BC18F361C4DB3C4299C72DDFEE33F1B80C2299F026F678DCV0DAH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8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12734</Words>
  <Characters>72590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Нарижний Михаил Николаевич</cp:lastModifiedBy>
  <cp:revision>4</cp:revision>
  <cp:lastPrinted>2023-05-15T05:30:00Z</cp:lastPrinted>
  <dcterms:created xsi:type="dcterms:W3CDTF">2023-05-15T05:29:00Z</dcterms:created>
  <dcterms:modified xsi:type="dcterms:W3CDTF">2023-05-29T10:27:00Z</dcterms:modified>
</cp:coreProperties>
</file>